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F7B6" w14:textId="77777777" w:rsidR="008E5F89" w:rsidRPr="008E5F89" w:rsidRDefault="008E5F89" w:rsidP="008E5F89">
      <w:pPr>
        <w:tabs>
          <w:tab w:val="right" w:pos="9639"/>
        </w:tabs>
        <w:spacing w:before="140" w:after="0" w:line="280" w:lineRule="atLeast"/>
        <w:jc w:val="both"/>
        <w:rPr>
          <w:rFonts w:ascii="Calibri" w:eastAsia="Times New Roman" w:hAnsi="Calibri" w:cs="Calibri"/>
          <w:sz w:val="40"/>
          <w:szCs w:val="40"/>
          <w:lang w:val="en-GB" w:eastAsia="en-GB"/>
        </w:rPr>
      </w:pPr>
      <w:r w:rsidRPr="008E5F89">
        <w:rPr>
          <w:rFonts w:ascii="Calibri" w:eastAsia="Times New Roman" w:hAnsi="Calibri" w:cs="Calibri"/>
          <w:sz w:val="40"/>
          <w:szCs w:val="40"/>
          <w:lang w:val="en-GB" w:eastAsia="en-GB"/>
        </w:rPr>
        <w:t xml:space="preserve">Terms of Reference for a Working Group on technical aspects </w:t>
      </w:r>
      <w:bookmarkStart w:id="0" w:name="_Hlk72513651"/>
      <w:r w:rsidRPr="008E5F89">
        <w:rPr>
          <w:rFonts w:ascii="Calibri" w:eastAsia="Times New Roman" w:hAnsi="Calibri" w:cs="Calibri"/>
          <w:sz w:val="40"/>
          <w:szCs w:val="40"/>
          <w:lang w:val="en-GB" w:eastAsia="en-GB"/>
        </w:rPr>
        <w:t xml:space="preserve">related to MARPOL Annex VI monitoring activities </w:t>
      </w:r>
      <w:bookmarkEnd w:id="0"/>
      <w:r w:rsidRPr="008E5F89">
        <w:rPr>
          <w:rFonts w:ascii="Calibri" w:eastAsia="Times New Roman" w:hAnsi="Calibri" w:cs="Calibri"/>
          <w:sz w:val="40"/>
          <w:szCs w:val="40"/>
          <w:lang w:val="en-GB" w:eastAsia="en-GB"/>
        </w:rPr>
        <w:t>(MAVI-TWG)</w:t>
      </w:r>
    </w:p>
    <w:p w14:paraId="1167C2AF" w14:textId="77777777" w:rsidR="008E5F89" w:rsidRPr="008E5F89" w:rsidRDefault="008E5F89" w:rsidP="008E5F89">
      <w:pPr>
        <w:tabs>
          <w:tab w:val="left" w:pos="1134"/>
          <w:tab w:val="left" w:pos="1701"/>
          <w:tab w:val="left" w:pos="2268"/>
        </w:tabs>
        <w:spacing w:after="0" w:line="240" w:lineRule="auto"/>
        <w:ind w:right="72"/>
        <w:jc w:val="both"/>
        <w:rPr>
          <w:rFonts w:ascii="Calibri" w:eastAsia="Times New Roman" w:hAnsi="Calibri" w:cs="Calibri"/>
          <w:b/>
          <w:sz w:val="22"/>
          <w:lang w:val="en-GB" w:eastAsia="en-GB"/>
        </w:rPr>
      </w:pPr>
    </w:p>
    <w:p w14:paraId="54A46494" w14:textId="77777777" w:rsidR="008E5F89" w:rsidRPr="008E5F89" w:rsidRDefault="008E5F89" w:rsidP="008E5F89">
      <w:pPr>
        <w:tabs>
          <w:tab w:val="left" w:pos="567"/>
          <w:tab w:val="left" w:pos="1134"/>
          <w:tab w:val="left" w:pos="1701"/>
          <w:tab w:val="left" w:pos="2268"/>
        </w:tabs>
        <w:spacing w:after="120" w:line="240" w:lineRule="auto"/>
        <w:jc w:val="both"/>
        <w:rPr>
          <w:rFonts w:ascii="Calibri" w:eastAsia="Times New Roman" w:hAnsi="Calibri" w:cs="Calibri"/>
          <w:b/>
          <w:sz w:val="22"/>
          <w:lang w:val="en-GB" w:eastAsia="en-GB"/>
        </w:rPr>
      </w:pPr>
      <w:r w:rsidRPr="008E5F89">
        <w:rPr>
          <w:rFonts w:ascii="Calibri" w:eastAsia="Times New Roman" w:hAnsi="Calibri" w:cs="Calibri"/>
          <w:b/>
          <w:sz w:val="22"/>
          <w:lang w:val="en-GB" w:eastAsia="en-GB"/>
        </w:rPr>
        <w:t>Background</w:t>
      </w:r>
    </w:p>
    <w:p w14:paraId="41B353AA" w14:textId="77777777" w:rsidR="008E5F89" w:rsidRPr="008E5F89" w:rsidRDefault="008E5F89" w:rsidP="008E5F89">
      <w:pPr>
        <w:numPr>
          <w:ilvl w:val="0"/>
          <w:numId w:val="24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0" w:firstLine="0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 xml:space="preserve">The </w:t>
      </w:r>
      <w:r w:rsidRPr="008E5F89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t>MARPOL Annex VI Experts Workshop 2021</w:t>
      </w:r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(</w:t>
      </w:r>
      <w:r w:rsidRPr="008E5F89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t xml:space="preserve">MAVIEWS 21) </w:t>
      </w:r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 xml:space="preserve">was held on 2 – 5 February 2021 to develop a common strategy and operational procedures on MARPOL Annex VI monitoring activities in the Bonn Agreement area. The Workshop concluded on a set of recommendations to be further explored through two working groups (WG) dealing with (1) strategic and operational aspects (MAVI-SOWG) and (2) technical aspects (MAVI-TWG) under the umbrella of OTSOPA. </w:t>
      </w:r>
    </w:p>
    <w:p w14:paraId="179D68B1" w14:textId="77777777" w:rsidR="008E5F89" w:rsidRPr="008E5F89" w:rsidRDefault="008E5F89" w:rsidP="008E5F89">
      <w:pPr>
        <w:numPr>
          <w:ilvl w:val="0"/>
          <w:numId w:val="24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0" w:firstLine="0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 xml:space="preserve">As a follow up of the Workshop, Contracting Parties </w:t>
      </w:r>
      <w:r w:rsidRPr="008E5F89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t xml:space="preserve">were invited to submit the national representatives of the WGs and the </w:t>
      </w:r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>Co-convenors made a first attempt to subdivide the MAVIEWS 21 recommendations for both WG into a subset of actions that, on the one hand, are quick wins and in-kind actions (mainly on info exchange, regular tasks and national operations) that would require limited additional effort, and, on the other hand, actions that would need more resources and therefore a project with external funding.</w:t>
      </w:r>
    </w:p>
    <w:p w14:paraId="0CC6102B" w14:textId="77777777" w:rsidR="008E5F89" w:rsidRPr="008E5F89" w:rsidRDefault="008E5F89" w:rsidP="008E5F89">
      <w:pPr>
        <w:numPr>
          <w:ilvl w:val="0"/>
          <w:numId w:val="24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0" w:firstLine="0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 xml:space="preserve">BONN 2021 agreed on the Terms of Reference (ToR) of a WG on technical aspects related to MARPOL Annex VI monitoring activities (MAVI-TWG) as in </w:t>
      </w:r>
      <w:r w:rsidRPr="008E5F89">
        <w:rPr>
          <w:rFonts w:ascii="Calibri" w:eastAsia="Times New Roman" w:hAnsi="Calibri" w:cs="Calibri"/>
          <w:sz w:val="22"/>
          <w:lang w:val="en-GB" w:eastAsia="en-GB"/>
        </w:rPr>
        <w:t xml:space="preserve">Annex 8 of BONN 2021 Summary Record. OTSOPA 2022 decided to update the ToR to reflect a </w:t>
      </w:r>
      <w:r w:rsidRPr="008E5F89">
        <w:rPr>
          <w:rFonts w:ascii="Calibri" w:eastAsia="Calibri" w:hAnsi="Calibri" w:cs="Calibri"/>
          <w:color w:val="000000"/>
          <w:sz w:val="22"/>
          <w:lang w:val="en-GB" w:eastAsia="en-GB"/>
        </w:rPr>
        <w:t>tiered approach: the working groups would be activated focusing on the quick -wins first and, in a later stage, the project proposal could be submitted.</w:t>
      </w:r>
    </w:p>
    <w:p w14:paraId="2566E823" w14:textId="77777777" w:rsidR="008E5F89" w:rsidRPr="008E5F89" w:rsidRDefault="008E5F89" w:rsidP="008E5F89">
      <w:pPr>
        <w:tabs>
          <w:tab w:val="left" w:pos="567"/>
          <w:tab w:val="left" w:pos="1134"/>
          <w:tab w:val="left" w:pos="1701"/>
          <w:tab w:val="left" w:pos="2268"/>
        </w:tabs>
        <w:spacing w:before="120" w:after="0" w:line="240" w:lineRule="auto"/>
        <w:jc w:val="both"/>
        <w:rPr>
          <w:rFonts w:ascii="Calibri" w:eastAsia="Times New Roman" w:hAnsi="Calibri" w:cs="Calibri"/>
          <w:b/>
          <w:sz w:val="22"/>
          <w:szCs w:val="20"/>
          <w:lang w:val="en-GB" w:eastAsia="en-GB"/>
        </w:rPr>
      </w:pPr>
      <w:r w:rsidRPr="008E5F89">
        <w:rPr>
          <w:rFonts w:ascii="Calibri" w:eastAsia="Times New Roman" w:hAnsi="Calibri" w:cs="Calibri"/>
          <w:b/>
          <w:sz w:val="22"/>
          <w:szCs w:val="20"/>
          <w:lang w:val="en-GB" w:eastAsia="en-GB"/>
        </w:rPr>
        <w:t>Objective</w:t>
      </w:r>
    </w:p>
    <w:p w14:paraId="77E44820" w14:textId="77777777" w:rsidR="008E5F89" w:rsidRPr="008E5F89" w:rsidRDefault="008E5F89" w:rsidP="008E5F89">
      <w:pPr>
        <w:numPr>
          <w:ilvl w:val="0"/>
          <w:numId w:val="24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0" w:firstLine="0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 xml:space="preserve">To address the </w:t>
      </w:r>
      <w:r w:rsidRPr="008E5F89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t xml:space="preserve">quick win or in-kind actions on </w:t>
      </w:r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>technical</w:t>
      </w:r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aspects related to MARPOL Annex VI monitoring activities in the Bonn Agreement area</w:t>
      </w:r>
      <w:r w:rsidRPr="008E5F89">
        <w:rPr>
          <w:rFonts w:ascii="Calibri" w:eastAsia="Times New Roman" w:hAnsi="Calibri" w:cs="Times New Roman"/>
          <w:color w:val="000000"/>
          <w:sz w:val="22"/>
          <w:szCs w:val="20"/>
          <w:lang w:eastAsia="en-GB"/>
        </w:rPr>
        <w:t xml:space="preserve"> </w:t>
      </w:r>
      <w:r w:rsidRPr="008E5F89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t xml:space="preserve">listed under </w:t>
      </w:r>
      <w:r w:rsidRPr="008E5F89">
        <w:rPr>
          <w:rFonts w:ascii="Calibri" w:eastAsia="Times New Roman" w:hAnsi="Calibri" w:cs="Calibri"/>
          <w:color w:val="000000"/>
          <w:sz w:val="22"/>
          <w:szCs w:val="20"/>
          <w:lang w:val="en-GB" w:eastAsia="en-GB"/>
        </w:rPr>
        <w:t>§9</w:t>
      </w:r>
      <w:r w:rsidRPr="008E5F89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t>, distributing the workload among the Contracting Parties</w:t>
      </w:r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>.</w:t>
      </w:r>
    </w:p>
    <w:p w14:paraId="0BAFE36C" w14:textId="77777777" w:rsidR="008E5F89" w:rsidRPr="008E5F89" w:rsidRDefault="008E5F89" w:rsidP="008E5F89">
      <w:pPr>
        <w:numPr>
          <w:ilvl w:val="0"/>
          <w:numId w:val="24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0" w:firstLine="0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8E5F89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t>To liaise with MAVI-SOWG to address those recommended actions which are both a strategic/operational, and a technical question or challenge (</w:t>
      </w:r>
      <w:proofErr w:type="gramStart"/>
      <w:r w:rsidRPr="008E5F89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t>e.g.</w:t>
      </w:r>
      <w:proofErr w:type="gramEnd"/>
      <w:r w:rsidRPr="008E5F89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t xml:space="preserve"> use of a threshold; standardised reporting; intercomparison and validation efforts, etc.), and imply some degree of coordination.</w:t>
      </w:r>
    </w:p>
    <w:p w14:paraId="75B45A02" w14:textId="77777777" w:rsidR="008E5F89" w:rsidRPr="008E5F89" w:rsidRDefault="008E5F89" w:rsidP="008E5F89">
      <w:pPr>
        <w:numPr>
          <w:ilvl w:val="0"/>
          <w:numId w:val="24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0" w:firstLine="0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 xml:space="preserve">To support the potential project coordinator in delivering the actions which might require external funding listed under </w:t>
      </w:r>
      <w:r w:rsidRPr="008E5F89">
        <w:rPr>
          <w:rFonts w:ascii="Calibri" w:eastAsia="Times New Roman" w:hAnsi="Calibri" w:cs="Calibri"/>
          <w:color w:val="000000"/>
          <w:sz w:val="22"/>
          <w:szCs w:val="20"/>
          <w:lang w:val="en-GB" w:eastAsia="en-GB"/>
        </w:rPr>
        <w:t>§10</w:t>
      </w:r>
      <w:r w:rsidRPr="008E5F89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t>.</w:t>
      </w:r>
    </w:p>
    <w:p w14:paraId="22EDEC46" w14:textId="77777777" w:rsidR="008E5F89" w:rsidRPr="008E5F89" w:rsidRDefault="008E5F89" w:rsidP="008E5F89">
      <w:pPr>
        <w:keepNext/>
        <w:tabs>
          <w:tab w:val="left" w:pos="567"/>
          <w:tab w:val="left" w:pos="1134"/>
          <w:tab w:val="left" w:pos="1701"/>
          <w:tab w:val="left" w:pos="2268"/>
        </w:tabs>
        <w:spacing w:before="120" w:after="0" w:line="240" w:lineRule="auto"/>
        <w:jc w:val="both"/>
        <w:rPr>
          <w:rFonts w:ascii="Calibri" w:eastAsia="Times New Roman" w:hAnsi="Calibri" w:cs="Calibri"/>
          <w:b/>
          <w:sz w:val="22"/>
          <w:szCs w:val="20"/>
          <w:lang w:val="en-GB" w:eastAsia="en-GB"/>
        </w:rPr>
      </w:pPr>
      <w:r w:rsidRPr="008E5F89">
        <w:rPr>
          <w:rFonts w:ascii="Calibri" w:eastAsia="Times New Roman" w:hAnsi="Calibri" w:cs="Calibri"/>
          <w:b/>
          <w:sz w:val="22"/>
          <w:szCs w:val="20"/>
          <w:lang w:val="en-GB" w:eastAsia="en-GB"/>
        </w:rPr>
        <w:t>Participants</w:t>
      </w:r>
    </w:p>
    <w:p w14:paraId="63743A03" w14:textId="29286D16" w:rsidR="008E5F89" w:rsidRPr="00441C55" w:rsidRDefault="008E5F89" w:rsidP="00441C55">
      <w:pPr>
        <w:numPr>
          <w:ilvl w:val="0"/>
          <w:numId w:val="24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120" w:line="240" w:lineRule="auto"/>
        <w:ind w:left="0" w:firstLine="0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 xml:space="preserve">The </w:t>
      </w:r>
      <w:r w:rsidR="00E1511E">
        <w:rPr>
          <w:rFonts w:ascii="Calibri" w:eastAsia="Times New Roman" w:hAnsi="Calibri" w:cs="Times New Roman"/>
          <w:sz w:val="22"/>
          <w:szCs w:val="20"/>
          <w:lang w:eastAsia="en-GB"/>
        </w:rPr>
        <w:t>WG</w:t>
      </w:r>
      <w:r w:rsidR="00E1511E" w:rsidRPr="008E5F89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</w:t>
      </w:r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 xml:space="preserve">will be co-convened by </w:t>
      </w:r>
      <w:r w:rsidRPr="008E5F89">
        <w:rPr>
          <w:rFonts w:ascii="Calibri" w:eastAsia="Times New Roman" w:hAnsi="Calibri" w:cs="Calibri"/>
          <w:sz w:val="22"/>
          <w:lang w:eastAsia="en-GB"/>
        </w:rPr>
        <w:t>Ward Van Roy from</w:t>
      </w:r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Belgium </w:t>
      </w:r>
      <w:r w:rsidRPr="008E5F89">
        <w:rPr>
          <w:rFonts w:asciiTheme="minorHAnsi" w:hAnsiTheme="minorHAnsi" w:cstheme="minorHAnsi"/>
          <w:sz w:val="22"/>
          <w:lang w:val="en-GB"/>
        </w:rPr>
        <w:t xml:space="preserve">and </w:t>
      </w:r>
      <w:r w:rsidRPr="008E5F89">
        <w:rPr>
          <w:rFonts w:ascii="Calibri" w:eastAsia="Times New Roman" w:hAnsi="Calibri" w:cs="Calibri"/>
          <w:sz w:val="22"/>
          <w:lang w:eastAsia="en-GB"/>
        </w:rPr>
        <w:t xml:space="preserve">Andreas Weigelt from </w:t>
      </w:r>
      <w:r w:rsidRPr="008E5F89">
        <w:rPr>
          <w:rFonts w:eastAsia="Times New Roman" w:cs="Calibri"/>
          <w:szCs w:val="18"/>
          <w:lang w:eastAsia="en-GB"/>
        </w:rPr>
        <w:t>Germany</w:t>
      </w:r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with </w:t>
      </w:r>
      <w:r w:rsidR="00924327">
        <w:rPr>
          <w:rFonts w:ascii="Calibri" w:eastAsia="Times New Roman" w:hAnsi="Calibri" w:cs="Times New Roman"/>
          <w:sz w:val="22"/>
          <w:szCs w:val="20"/>
          <w:lang w:eastAsia="en-GB"/>
        </w:rPr>
        <w:t xml:space="preserve">an active </w:t>
      </w:r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 xml:space="preserve">participation </w:t>
      </w:r>
      <w:r w:rsidR="00924327">
        <w:rPr>
          <w:rFonts w:ascii="Calibri" w:eastAsia="Times New Roman" w:hAnsi="Calibri" w:cs="Times New Roman"/>
          <w:sz w:val="22"/>
          <w:szCs w:val="20"/>
          <w:lang w:eastAsia="en-GB"/>
        </w:rPr>
        <w:t>of</w:t>
      </w:r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all Contracting Parties</w:t>
      </w:r>
      <w:r w:rsidR="00924327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to the WG meetings. In addition, </w:t>
      </w:r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>the co-convenors of the MAVI-SOWG</w:t>
      </w:r>
      <w:r w:rsidR="00924327" w:rsidRPr="00924327">
        <w:rPr>
          <w:rFonts w:ascii="Calibri" w:eastAsia="Times New Roman" w:hAnsi="Calibri" w:cs="Times New Roman"/>
          <w:sz w:val="22"/>
          <w:szCs w:val="20"/>
          <w:lang w:eastAsia="en-GB"/>
        </w:rPr>
        <w:t xml:space="preserve"> </w:t>
      </w:r>
      <w:r w:rsidR="00924327">
        <w:rPr>
          <w:rFonts w:ascii="Calibri" w:eastAsia="Times New Roman" w:hAnsi="Calibri" w:cs="Times New Roman"/>
          <w:sz w:val="22"/>
          <w:szCs w:val="20"/>
          <w:lang w:eastAsia="en-GB"/>
        </w:rPr>
        <w:t>are invited to join the meetings</w:t>
      </w:r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>. Experts can also participate in the WG if requested by Contracting Parties with a justification (BONN 22/12/1 Annex 6).</w:t>
      </w:r>
      <w:r w:rsidR="00441C55">
        <w:rPr>
          <w:rFonts w:ascii="Calibri" w:eastAsia="Times New Roman" w:hAnsi="Calibri" w:cs="Times New Roman"/>
          <w:sz w:val="22"/>
          <w:szCs w:val="20"/>
          <w:lang w:eastAsia="en-GB"/>
        </w:rPr>
        <w:br w:type="page"/>
      </w:r>
    </w:p>
    <w:p w14:paraId="1F1A5688" w14:textId="77777777" w:rsidR="008E5F89" w:rsidRPr="008E5F89" w:rsidRDefault="008E5F89" w:rsidP="00880213">
      <w:pPr>
        <w:keepNext/>
        <w:tabs>
          <w:tab w:val="left" w:pos="567"/>
          <w:tab w:val="left" w:pos="1134"/>
          <w:tab w:val="left" w:pos="1701"/>
          <w:tab w:val="left" w:pos="2268"/>
        </w:tabs>
        <w:spacing w:before="240" w:after="0" w:line="240" w:lineRule="auto"/>
        <w:jc w:val="both"/>
        <w:rPr>
          <w:rFonts w:ascii="Calibri" w:eastAsia="Times New Roman" w:hAnsi="Calibri" w:cs="Calibri"/>
          <w:b/>
          <w:sz w:val="22"/>
          <w:szCs w:val="20"/>
          <w:lang w:val="en-GB" w:eastAsia="en-GB"/>
        </w:rPr>
      </w:pPr>
      <w:bookmarkStart w:id="1" w:name="_Hlk72512770"/>
      <w:r w:rsidRPr="008E5F89">
        <w:rPr>
          <w:rFonts w:ascii="Calibri" w:eastAsia="Times New Roman" w:hAnsi="Calibri" w:cs="Calibri"/>
          <w:b/>
          <w:sz w:val="22"/>
          <w:szCs w:val="20"/>
          <w:lang w:val="en-GB" w:eastAsia="en-GB"/>
        </w:rPr>
        <w:lastRenderedPageBreak/>
        <w:t>Work arrangements</w:t>
      </w:r>
    </w:p>
    <w:bookmarkEnd w:id="1"/>
    <w:p w14:paraId="50765A60" w14:textId="77777777" w:rsidR="008E5F89" w:rsidRPr="008E5F89" w:rsidRDefault="008E5F89" w:rsidP="008E5F89">
      <w:pPr>
        <w:numPr>
          <w:ilvl w:val="0"/>
          <w:numId w:val="24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0" w:firstLine="0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>The WG will work via correspondence and hold the following meetings:</w:t>
      </w:r>
    </w:p>
    <w:p w14:paraId="6775ECD7" w14:textId="77777777" w:rsidR="008E5F89" w:rsidRPr="008E5F89" w:rsidRDefault="008E5F89" w:rsidP="008E5F89">
      <w:pPr>
        <w:numPr>
          <w:ilvl w:val="1"/>
          <w:numId w:val="24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 xml:space="preserve">monthly online WG meetings in the startup phase and bimonthly </w:t>
      </w:r>
      <w:proofErr w:type="gramStart"/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>afterwards;</w:t>
      </w:r>
      <w:proofErr w:type="gramEnd"/>
    </w:p>
    <w:p w14:paraId="320BD763" w14:textId="77777777" w:rsidR="008E5F89" w:rsidRPr="008E5F89" w:rsidRDefault="008E5F89" w:rsidP="008E5F89">
      <w:pPr>
        <w:numPr>
          <w:ilvl w:val="1"/>
          <w:numId w:val="24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8E5F89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t xml:space="preserve">an annual physical </w:t>
      </w:r>
      <w:proofErr w:type="gramStart"/>
      <w:r w:rsidRPr="008E5F89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t>inter</w:t>
      </w:r>
      <w:proofErr w:type="gramEnd"/>
      <w:r w:rsidRPr="008E5F89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t xml:space="preserve"> WG meeting (e.g. prior or back to back to OTSOPA) (Belgium is of the opinion that this coordination between both WGs could even be further optimized when </w:t>
      </w:r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>needed, by for example bimonthly online inter WG-leader meetings): and</w:t>
      </w:r>
    </w:p>
    <w:p w14:paraId="0B52BE4B" w14:textId="77777777" w:rsidR="008E5F89" w:rsidRPr="008E5F89" w:rsidRDefault="008E5F89" w:rsidP="008E5F89">
      <w:pPr>
        <w:numPr>
          <w:ilvl w:val="1"/>
          <w:numId w:val="24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8E5F89">
        <w:rPr>
          <w:rFonts w:ascii="Calibri" w:eastAsia="Times New Roman" w:hAnsi="Calibri" w:cs="Times New Roman"/>
          <w:color w:val="000000"/>
          <w:sz w:val="22"/>
          <w:szCs w:val="20"/>
          <w:lang w:val="en-GB" w:eastAsia="en-GB"/>
        </w:rPr>
        <w:t xml:space="preserve">semestrial meetings between the OTSOPA Chair, WG leaders and the (potential) project coordinator. </w:t>
      </w:r>
    </w:p>
    <w:p w14:paraId="005B081C" w14:textId="77777777" w:rsidR="008E5F89" w:rsidRPr="008E5F89" w:rsidRDefault="008E5F89" w:rsidP="008E5F89">
      <w:pPr>
        <w:keepNext/>
        <w:tabs>
          <w:tab w:val="left" w:pos="567"/>
          <w:tab w:val="left" w:pos="1134"/>
          <w:tab w:val="left" w:pos="1701"/>
          <w:tab w:val="left" w:pos="2268"/>
        </w:tabs>
        <w:spacing w:before="120" w:after="0" w:line="240" w:lineRule="auto"/>
        <w:jc w:val="both"/>
        <w:rPr>
          <w:rFonts w:ascii="Calibri" w:eastAsia="Times New Roman" w:hAnsi="Calibri" w:cs="Calibri"/>
          <w:b/>
          <w:sz w:val="22"/>
          <w:szCs w:val="20"/>
          <w:lang w:val="en-GB" w:eastAsia="en-GB"/>
        </w:rPr>
      </w:pPr>
      <w:r w:rsidRPr="008E5F89">
        <w:rPr>
          <w:rFonts w:ascii="Calibri" w:eastAsia="Times New Roman" w:hAnsi="Calibri" w:cs="Calibri"/>
          <w:b/>
          <w:sz w:val="22"/>
          <w:szCs w:val="20"/>
          <w:lang w:val="en-GB" w:eastAsia="en-GB"/>
        </w:rPr>
        <w:t>Quick wins and in-kind actions</w:t>
      </w:r>
    </w:p>
    <w:p w14:paraId="3F52CAE0" w14:textId="77777777" w:rsidR="008E5F89" w:rsidRPr="008E5F89" w:rsidRDefault="008E5F89" w:rsidP="008E5F89">
      <w:pPr>
        <w:numPr>
          <w:ilvl w:val="0"/>
          <w:numId w:val="24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0" w:firstLine="0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>The WG will address the following Quick wins and in-kind actions:</w:t>
      </w:r>
    </w:p>
    <w:p w14:paraId="663DCFC3" w14:textId="77777777" w:rsidR="008E5F89" w:rsidRPr="008E5F89" w:rsidRDefault="008E5F89" w:rsidP="008E5F89">
      <w:pPr>
        <w:numPr>
          <w:ilvl w:val="1"/>
          <w:numId w:val="24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val="en-GB" w:eastAsia="en-GB"/>
        </w:rPr>
      </w:pPr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>Consider the recent sensor developments, also for drones (</w:t>
      </w:r>
      <w:proofErr w:type="gramStart"/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>e.g.</w:t>
      </w:r>
      <w:proofErr w:type="gramEnd"/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 xml:space="preserve"> optical/laser sensors). </w:t>
      </w:r>
    </w:p>
    <w:p w14:paraId="6C5852A4" w14:textId="77777777" w:rsidR="008E5F89" w:rsidRPr="008E5F89" w:rsidRDefault="008E5F89" w:rsidP="008E5F89">
      <w:pPr>
        <w:numPr>
          <w:ilvl w:val="1"/>
          <w:numId w:val="24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val="en-GB" w:eastAsia="en-GB"/>
        </w:rPr>
      </w:pPr>
      <w:proofErr w:type="gramStart"/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>Take into account</w:t>
      </w:r>
      <w:proofErr w:type="gramEnd"/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 xml:space="preserve"> national experience, ongoing operations and their recommendations, and the outcome of previous projects such as SCIPPER and COMPMON. </w:t>
      </w:r>
    </w:p>
    <w:p w14:paraId="13673F83" w14:textId="77777777" w:rsidR="008E5F89" w:rsidRPr="008E5F89" w:rsidRDefault="008E5F89" w:rsidP="008E5F89">
      <w:pPr>
        <w:numPr>
          <w:ilvl w:val="1"/>
          <w:numId w:val="24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val="en-GB" w:eastAsia="en-GB"/>
        </w:rPr>
      </w:pPr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>Sharing best practices on NOx measurements and reporting (building upon the experience of Belgium and Germany).</w:t>
      </w:r>
    </w:p>
    <w:p w14:paraId="7AFC47A6" w14:textId="77777777" w:rsidR="008E5F89" w:rsidRPr="008E5F89" w:rsidRDefault="008E5F89" w:rsidP="008E5F89">
      <w:pPr>
        <w:keepNext/>
        <w:tabs>
          <w:tab w:val="left" w:pos="567"/>
          <w:tab w:val="left" w:pos="1134"/>
          <w:tab w:val="left" w:pos="1701"/>
          <w:tab w:val="left" w:pos="2268"/>
        </w:tabs>
        <w:spacing w:before="240" w:after="0" w:line="240" w:lineRule="auto"/>
        <w:jc w:val="both"/>
        <w:rPr>
          <w:rFonts w:ascii="Calibri" w:eastAsia="Times New Roman" w:hAnsi="Calibri" w:cs="Calibri"/>
          <w:b/>
          <w:sz w:val="22"/>
          <w:szCs w:val="20"/>
          <w:lang w:val="en-GB" w:eastAsia="en-GB"/>
        </w:rPr>
      </w:pPr>
      <w:bookmarkStart w:id="2" w:name="_Hlk137046618"/>
      <w:r w:rsidRPr="008E5F89">
        <w:rPr>
          <w:rFonts w:ascii="Calibri" w:eastAsia="Times New Roman" w:hAnsi="Calibri" w:cs="Calibri"/>
          <w:b/>
          <w:sz w:val="22"/>
          <w:szCs w:val="20"/>
          <w:lang w:val="en-GB" w:eastAsia="en-GB"/>
        </w:rPr>
        <w:t>Actions for which external funding might need to be considered (possible project-based actions)</w:t>
      </w:r>
    </w:p>
    <w:p w14:paraId="3B559AF3" w14:textId="77777777" w:rsidR="008E5F89" w:rsidRPr="008E5F89" w:rsidRDefault="008E5F89" w:rsidP="008E5F89">
      <w:pPr>
        <w:numPr>
          <w:ilvl w:val="0"/>
          <w:numId w:val="24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0" w:firstLine="0"/>
        <w:jc w:val="both"/>
        <w:rPr>
          <w:rFonts w:ascii="Calibri" w:eastAsia="Times New Roman" w:hAnsi="Calibri" w:cs="Times New Roman"/>
          <w:sz w:val="22"/>
          <w:szCs w:val="20"/>
          <w:lang w:eastAsia="en-GB"/>
        </w:rPr>
      </w:pPr>
      <w:r w:rsidRPr="008E5F89">
        <w:rPr>
          <w:rFonts w:ascii="Calibri" w:eastAsia="Times New Roman" w:hAnsi="Calibri" w:cs="Times New Roman"/>
          <w:sz w:val="22"/>
          <w:szCs w:val="20"/>
          <w:lang w:eastAsia="en-GB"/>
        </w:rPr>
        <w:t>The WG will support the project coordinator in the delivery of the following actions:</w:t>
      </w:r>
    </w:p>
    <w:p w14:paraId="5E2628A1" w14:textId="77777777" w:rsidR="008E5F89" w:rsidRPr="008E5F89" w:rsidRDefault="008E5F89" w:rsidP="008E5F89">
      <w:pPr>
        <w:numPr>
          <w:ilvl w:val="1"/>
          <w:numId w:val="24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val="en-GB" w:eastAsia="en-GB"/>
        </w:rPr>
      </w:pPr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>Consider certifi</w:t>
      </w:r>
      <w:bookmarkEnd w:id="2"/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>cation/standardization for SOx and NOx measurements (</w:t>
      </w:r>
      <w:proofErr w:type="gramStart"/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>e.g.</w:t>
      </w:r>
      <w:proofErr w:type="gramEnd"/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 xml:space="preserve"> creation of CEN</w:t>
      </w:r>
      <w:r w:rsidRPr="008E5F89">
        <w:rPr>
          <w:rFonts w:ascii="Calibri" w:eastAsia="Times New Roman" w:hAnsi="Calibri" w:cs="Times New Roman"/>
          <w:sz w:val="22"/>
          <w:szCs w:val="20"/>
          <w:vertAlign w:val="superscript"/>
          <w:lang w:val="en-GB" w:eastAsia="en-GB"/>
        </w:rPr>
        <w:footnoteReference w:id="1"/>
      </w:r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 xml:space="preserve"> WG).</w:t>
      </w:r>
    </w:p>
    <w:p w14:paraId="78F185D9" w14:textId="77777777" w:rsidR="008E5F89" w:rsidRPr="008E5F89" w:rsidRDefault="008E5F89" w:rsidP="008E5F89">
      <w:pPr>
        <w:numPr>
          <w:ilvl w:val="1"/>
          <w:numId w:val="24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val="en-GB" w:eastAsia="en-GB"/>
        </w:rPr>
      </w:pPr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 xml:space="preserve">Agree on a common methodology for the qualification of errors in measurements: </w:t>
      </w:r>
    </w:p>
    <w:p w14:paraId="64A8BC1B" w14:textId="77777777" w:rsidR="008E5F89" w:rsidRPr="008E5F89" w:rsidRDefault="008E5F89" w:rsidP="008E5F89">
      <w:pPr>
        <w:numPr>
          <w:ilvl w:val="1"/>
          <w:numId w:val="2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701"/>
        <w:jc w:val="both"/>
        <w:rPr>
          <w:rFonts w:ascii="Calibri" w:eastAsia="Times New Roman" w:hAnsi="Calibri" w:cs="Times New Roman"/>
          <w:sz w:val="22"/>
          <w:szCs w:val="20"/>
          <w:lang w:val="en-GB" w:eastAsia="en-GB"/>
        </w:rPr>
      </w:pPr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>Qualitative approach (flags including the degree of confidence</w:t>
      </w:r>
      <w:proofErr w:type="gramStart"/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>);</w:t>
      </w:r>
      <w:proofErr w:type="gramEnd"/>
    </w:p>
    <w:p w14:paraId="384555C4" w14:textId="77777777" w:rsidR="008E5F89" w:rsidRPr="008E5F89" w:rsidRDefault="008E5F89" w:rsidP="008E5F89">
      <w:pPr>
        <w:numPr>
          <w:ilvl w:val="1"/>
          <w:numId w:val="25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701"/>
        <w:jc w:val="both"/>
        <w:rPr>
          <w:rFonts w:ascii="Calibri" w:eastAsia="Times New Roman" w:hAnsi="Calibri" w:cs="Times New Roman"/>
          <w:sz w:val="22"/>
          <w:szCs w:val="20"/>
          <w:lang w:val="en-GB" w:eastAsia="en-GB"/>
        </w:rPr>
      </w:pPr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>Quantitative approach (values including uncertainties</w:t>
      </w:r>
      <w:proofErr w:type="gramStart"/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>) .</w:t>
      </w:r>
      <w:proofErr w:type="gramEnd"/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 xml:space="preserve"> </w:t>
      </w:r>
    </w:p>
    <w:p w14:paraId="56F800A4" w14:textId="77777777" w:rsidR="008E5F89" w:rsidRPr="008E5F89" w:rsidRDefault="008E5F89" w:rsidP="008E5F89">
      <w:pPr>
        <w:numPr>
          <w:ilvl w:val="1"/>
          <w:numId w:val="24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val="en-GB" w:eastAsia="en-GB"/>
        </w:rPr>
      </w:pPr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 xml:space="preserve">Define a common approach to calibrate sniffers. </w:t>
      </w:r>
    </w:p>
    <w:p w14:paraId="033D7583" w14:textId="77777777" w:rsidR="008E5F89" w:rsidRPr="008E5F89" w:rsidRDefault="008E5F89" w:rsidP="008E5F89">
      <w:pPr>
        <w:numPr>
          <w:ilvl w:val="1"/>
          <w:numId w:val="24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val="en-GB" w:eastAsia="en-GB"/>
        </w:rPr>
      </w:pPr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 xml:space="preserve">Agree on alert thresholds: Start from IMO thresholds 0,1% and 0,5% plus an additional margin. </w:t>
      </w:r>
    </w:p>
    <w:p w14:paraId="67D1E593" w14:textId="77777777" w:rsidR="008E5F89" w:rsidRPr="008E5F89" w:rsidRDefault="008E5F89" w:rsidP="008E5F89">
      <w:pPr>
        <w:numPr>
          <w:ilvl w:val="1"/>
          <w:numId w:val="24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val="en-GB" w:eastAsia="en-GB"/>
        </w:rPr>
      </w:pPr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 xml:space="preserve">Run (regular) validation campaigns combining different sensors at BA level (for both, </w:t>
      </w:r>
      <w:proofErr w:type="gramStart"/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>SOx</w:t>
      </w:r>
      <w:proofErr w:type="gramEnd"/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 xml:space="preserve"> and NOx) to facilitate sharing of data and methodologies which will help identify commonalities in order to check uncertainties between sensors.</w:t>
      </w:r>
    </w:p>
    <w:p w14:paraId="7A612114" w14:textId="77777777" w:rsidR="008E5F89" w:rsidRPr="008E5F89" w:rsidRDefault="008E5F89" w:rsidP="008E5F89">
      <w:pPr>
        <w:numPr>
          <w:ilvl w:val="1"/>
          <w:numId w:val="24"/>
        </w:numPr>
        <w:tabs>
          <w:tab w:val="left" w:pos="567"/>
          <w:tab w:val="left" w:pos="1134"/>
          <w:tab w:val="left" w:pos="1701"/>
          <w:tab w:val="left" w:pos="2268"/>
        </w:tabs>
        <w:spacing w:before="120" w:after="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val="en-GB" w:eastAsia="en-GB"/>
        </w:rPr>
      </w:pPr>
      <w:r w:rsidRPr="008E5F89">
        <w:rPr>
          <w:rFonts w:ascii="Calibri" w:eastAsia="Times New Roman" w:hAnsi="Calibri" w:cs="Times New Roman"/>
          <w:sz w:val="22"/>
          <w:szCs w:val="20"/>
          <w:lang w:val="en-GB" w:eastAsia="en-GB"/>
        </w:rPr>
        <w:t>Promote taking NOx remote measurements, building upon the experience of Belgium and Germany.</w:t>
      </w:r>
    </w:p>
    <w:p w14:paraId="7B3EE397" w14:textId="124E9745" w:rsidR="008E5F89" w:rsidRPr="008E5F89" w:rsidRDefault="008E5F89" w:rsidP="00E14B60">
      <w:pPr>
        <w:numPr>
          <w:ilvl w:val="1"/>
          <w:numId w:val="24"/>
        </w:numPr>
        <w:tabs>
          <w:tab w:val="left" w:pos="567"/>
          <w:tab w:val="left" w:pos="1134"/>
          <w:tab w:val="left" w:pos="1701"/>
          <w:tab w:val="left" w:pos="2268"/>
          <w:tab w:val="left" w:pos="3750"/>
          <w:tab w:val="center" w:pos="4513"/>
        </w:tabs>
        <w:spacing w:before="240" w:after="240" w:line="280" w:lineRule="atLeast"/>
        <w:ind w:left="1134" w:hanging="567"/>
        <w:jc w:val="both"/>
        <w:rPr>
          <w:rFonts w:ascii="Calibri" w:eastAsia="Times New Roman" w:hAnsi="Calibri" w:cs="Times New Roman"/>
          <w:sz w:val="22"/>
          <w:szCs w:val="20"/>
          <w:lang w:val="en-GB" w:eastAsia="en-GB"/>
        </w:rPr>
      </w:pPr>
      <w:r w:rsidRPr="00441C55">
        <w:rPr>
          <w:rFonts w:ascii="Calibri" w:eastAsia="Times New Roman" w:hAnsi="Calibri" w:cs="Times New Roman"/>
          <w:sz w:val="22"/>
          <w:szCs w:val="20"/>
          <w:lang w:val="en-GB" w:eastAsia="en-GB"/>
        </w:rPr>
        <w:t xml:space="preserve">Define operational procedures to make NOx measurements more reliable (contacting the vessel to get information on type of fuel, specific consumption rate, and </w:t>
      </w:r>
      <w:proofErr w:type="gramStart"/>
      <w:r w:rsidRPr="00441C55">
        <w:rPr>
          <w:rFonts w:ascii="Calibri" w:eastAsia="Times New Roman" w:hAnsi="Calibri" w:cs="Times New Roman"/>
          <w:sz w:val="22"/>
          <w:szCs w:val="20"/>
          <w:lang w:val="en-GB" w:eastAsia="en-GB"/>
        </w:rPr>
        <w:t>power;</w:t>
      </w:r>
      <w:proofErr w:type="gramEnd"/>
      <w:r w:rsidRPr="00441C55">
        <w:rPr>
          <w:rFonts w:ascii="Calibri" w:eastAsia="Times New Roman" w:hAnsi="Calibri" w:cs="Times New Roman"/>
          <w:sz w:val="22"/>
          <w:szCs w:val="20"/>
          <w:lang w:val="en-GB" w:eastAsia="en-GB"/>
        </w:rPr>
        <w:t xml:space="preserve"> taking several measurements as for SOx, comparison of measurement results with emission test results). </w:t>
      </w:r>
    </w:p>
    <w:sectPr w:rsidR="008E5F89" w:rsidRPr="008E5F89" w:rsidSect="001E6A24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515D" w14:textId="77777777" w:rsidR="00E44538" w:rsidRDefault="00E44538" w:rsidP="00BB2EAF">
      <w:pPr>
        <w:spacing w:after="0" w:line="240" w:lineRule="auto"/>
      </w:pPr>
      <w:r>
        <w:separator/>
      </w:r>
    </w:p>
  </w:endnote>
  <w:endnote w:type="continuationSeparator" w:id="0">
    <w:p w14:paraId="07A59FA8" w14:textId="77777777" w:rsidR="00E44538" w:rsidRDefault="00E44538" w:rsidP="00BB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839B" w14:textId="77777777" w:rsidR="00152149" w:rsidRDefault="00152149" w:rsidP="00152149">
    <w:pPr>
      <w:pStyle w:val="Footer"/>
      <w:pBdr>
        <w:bottom w:val="single" w:sz="4" w:space="1" w:color="auto"/>
      </w:pBdr>
      <w:tabs>
        <w:tab w:val="left" w:pos="272"/>
      </w:tabs>
      <w:jc w:val="right"/>
      <w:rPr>
        <w:rStyle w:val="PageNumber"/>
        <w:rFonts w:ascii="Calibri" w:hAnsi="Calibri"/>
        <w:sz w:val="20"/>
        <w:szCs w:val="18"/>
      </w:rPr>
    </w:pPr>
    <w:r w:rsidRPr="00A87231">
      <w:rPr>
        <w:rStyle w:val="PageNumber"/>
        <w:rFonts w:ascii="Calibri" w:hAnsi="Calibri"/>
        <w:sz w:val="20"/>
        <w:szCs w:val="18"/>
      </w:rPr>
      <w:fldChar w:fldCharType="begin"/>
    </w:r>
    <w:r w:rsidRPr="00A87231">
      <w:rPr>
        <w:rStyle w:val="PageNumber"/>
        <w:rFonts w:ascii="Calibri" w:hAnsi="Calibri"/>
        <w:sz w:val="20"/>
        <w:szCs w:val="18"/>
      </w:rPr>
      <w:instrText xml:space="preserve"> PAGE </w:instrText>
    </w:r>
    <w:r w:rsidRPr="00A87231">
      <w:rPr>
        <w:rStyle w:val="PageNumber"/>
        <w:rFonts w:ascii="Calibri" w:hAnsi="Calibri"/>
        <w:sz w:val="20"/>
        <w:szCs w:val="18"/>
      </w:rPr>
      <w:fldChar w:fldCharType="separate"/>
    </w:r>
    <w:r>
      <w:rPr>
        <w:rStyle w:val="PageNumber"/>
        <w:rFonts w:ascii="Calibri" w:hAnsi="Calibri"/>
        <w:sz w:val="20"/>
        <w:szCs w:val="18"/>
      </w:rPr>
      <w:t>1</w:t>
    </w:r>
    <w:r w:rsidRPr="00A87231">
      <w:rPr>
        <w:rStyle w:val="PageNumber"/>
        <w:rFonts w:ascii="Calibri" w:hAnsi="Calibri"/>
        <w:sz w:val="20"/>
        <w:szCs w:val="18"/>
      </w:rPr>
      <w:fldChar w:fldCharType="end"/>
    </w:r>
    <w:r w:rsidRPr="00A87231">
      <w:rPr>
        <w:rStyle w:val="PageNumber"/>
        <w:rFonts w:ascii="Calibri" w:hAnsi="Calibri"/>
        <w:sz w:val="20"/>
        <w:szCs w:val="18"/>
      </w:rPr>
      <w:t xml:space="preserve"> of </w:t>
    </w:r>
    <w:r w:rsidRPr="00A87231">
      <w:rPr>
        <w:rStyle w:val="PageNumber"/>
        <w:rFonts w:ascii="Calibri" w:hAnsi="Calibri"/>
        <w:sz w:val="20"/>
        <w:szCs w:val="18"/>
      </w:rPr>
      <w:fldChar w:fldCharType="begin"/>
    </w:r>
    <w:r w:rsidRPr="00A87231">
      <w:rPr>
        <w:rStyle w:val="PageNumber"/>
        <w:rFonts w:ascii="Calibri" w:hAnsi="Calibri"/>
        <w:sz w:val="20"/>
        <w:szCs w:val="18"/>
      </w:rPr>
      <w:instrText xml:space="preserve"> NUMPAGES </w:instrText>
    </w:r>
    <w:r w:rsidRPr="00A87231">
      <w:rPr>
        <w:rStyle w:val="PageNumber"/>
        <w:rFonts w:ascii="Calibri" w:hAnsi="Calibri"/>
        <w:sz w:val="20"/>
        <w:szCs w:val="18"/>
      </w:rPr>
      <w:fldChar w:fldCharType="separate"/>
    </w:r>
    <w:r>
      <w:rPr>
        <w:rStyle w:val="PageNumber"/>
        <w:rFonts w:ascii="Calibri" w:hAnsi="Calibri"/>
        <w:sz w:val="20"/>
        <w:szCs w:val="18"/>
      </w:rPr>
      <w:t>7</w:t>
    </w:r>
    <w:r w:rsidRPr="00A87231">
      <w:rPr>
        <w:rStyle w:val="PageNumber"/>
        <w:rFonts w:ascii="Calibri" w:hAnsi="Calibri"/>
        <w:sz w:val="20"/>
        <w:szCs w:val="18"/>
      </w:rPr>
      <w:fldChar w:fldCharType="end"/>
    </w:r>
  </w:p>
  <w:p w14:paraId="6C28B171" w14:textId="77777777" w:rsidR="00152149" w:rsidRPr="00A87231" w:rsidRDefault="00152149" w:rsidP="00152149">
    <w:pPr>
      <w:pStyle w:val="Footer"/>
      <w:tabs>
        <w:tab w:val="left" w:leader="underscore" w:pos="9639"/>
      </w:tabs>
      <w:rPr>
        <w:rFonts w:ascii="Calibri" w:hAnsi="Calibri"/>
        <w:sz w:val="2"/>
        <w:szCs w:val="18"/>
      </w:rPr>
    </w:pPr>
    <w:r w:rsidRPr="00A87231">
      <w:rPr>
        <w:rStyle w:val="PageNumber"/>
        <w:rFonts w:ascii="Calibri" w:hAnsi="Calibri"/>
        <w:sz w:val="2"/>
        <w:szCs w:val="18"/>
      </w:rPr>
      <w:tab/>
    </w:r>
  </w:p>
  <w:p w14:paraId="1FA9C847" w14:textId="33278409" w:rsidR="004969A3" w:rsidRPr="00152149" w:rsidRDefault="00152149" w:rsidP="00152149">
    <w:pPr>
      <w:pStyle w:val="Footer"/>
      <w:tabs>
        <w:tab w:val="right" w:pos="9639"/>
      </w:tabs>
      <w:rPr>
        <w:rFonts w:ascii="Calibri" w:hAnsi="Calibri"/>
        <w:sz w:val="20"/>
        <w:szCs w:val="18"/>
      </w:rPr>
    </w:pPr>
    <w:r w:rsidRPr="00A87231">
      <w:rPr>
        <w:rFonts w:ascii="Calibri" w:hAnsi="Calibri"/>
        <w:sz w:val="20"/>
        <w:szCs w:val="18"/>
      </w:rPr>
      <w:t>Bonn Agreement</w:t>
    </w:r>
    <w:r>
      <w:rPr>
        <w:rFonts w:ascii="Calibri" w:hAnsi="Calibri"/>
        <w:sz w:val="20"/>
        <w:szCs w:val="18"/>
      </w:rPr>
      <w:tab/>
    </w:r>
    <w:r w:rsidR="00194FC5">
      <w:rPr>
        <w:rFonts w:ascii="Calibri" w:hAnsi="Calibri"/>
        <w:sz w:val="20"/>
        <w:szCs w:val="18"/>
      </w:rPr>
      <w:tab/>
      <w:t>November 2023</w:t>
    </w:r>
  </w:p>
  <w:p w14:paraId="5FF6D03E" w14:textId="77777777" w:rsidR="00441C55" w:rsidRDefault="00441C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254F" w14:textId="77777777" w:rsidR="00E44538" w:rsidRDefault="00E44538" w:rsidP="00BB2EAF">
      <w:pPr>
        <w:spacing w:after="0" w:line="240" w:lineRule="auto"/>
      </w:pPr>
      <w:r>
        <w:separator/>
      </w:r>
    </w:p>
  </w:footnote>
  <w:footnote w:type="continuationSeparator" w:id="0">
    <w:p w14:paraId="7B387CBF" w14:textId="77777777" w:rsidR="00E44538" w:rsidRDefault="00E44538" w:rsidP="00BB2EAF">
      <w:pPr>
        <w:spacing w:after="0" w:line="240" w:lineRule="auto"/>
      </w:pPr>
      <w:r>
        <w:continuationSeparator/>
      </w:r>
    </w:p>
  </w:footnote>
  <w:footnote w:id="1">
    <w:p w14:paraId="781EAE65" w14:textId="77777777" w:rsidR="008E5F89" w:rsidRDefault="008E5F89" w:rsidP="008E5F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 Light" w:hAnsi="Calibri Light" w:cs="Calibri Light"/>
          <w:sz w:val="18"/>
          <w:szCs w:val="18"/>
          <w:shd w:val="clear" w:color="auto" w:fill="FFFFFF"/>
        </w:rPr>
        <w:t>European Committee for Standardization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F09"/>
    <w:multiLevelType w:val="hybridMultilevel"/>
    <w:tmpl w:val="DC402F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B38"/>
    <w:multiLevelType w:val="hybridMultilevel"/>
    <w:tmpl w:val="4A88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249"/>
    <w:multiLevelType w:val="hybridMultilevel"/>
    <w:tmpl w:val="7F10FC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53E"/>
    <w:multiLevelType w:val="hybridMultilevel"/>
    <w:tmpl w:val="572A75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76C5"/>
    <w:multiLevelType w:val="hybridMultilevel"/>
    <w:tmpl w:val="A92C9A4C"/>
    <w:lvl w:ilvl="0" w:tplc="6DA2402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E5239"/>
    <w:multiLevelType w:val="hybridMultilevel"/>
    <w:tmpl w:val="AEA47240"/>
    <w:lvl w:ilvl="0" w:tplc="25FECA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A39BD"/>
    <w:multiLevelType w:val="hybridMultilevel"/>
    <w:tmpl w:val="9C76E0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432"/>
    <w:multiLevelType w:val="hybridMultilevel"/>
    <w:tmpl w:val="D2C8C9F0"/>
    <w:lvl w:ilvl="0" w:tplc="843C9182">
      <w:start w:val="1"/>
      <w:numFmt w:val="decimal"/>
      <w:lvlText w:val="6.%1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C0DA2"/>
    <w:multiLevelType w:val="hybridMultilevel"/>
    <w:tmpl w:val="5C4E97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F0A0A"/>
    <w:multiLevelType w:val="multilevel"/>
    <w:tmpl w:val="C72EE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AD0271"/>
    <w:multiLevelType w:val="multilevel"/>
    <w:tmpl w:val="2392F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D8743A"/>
    <w:multiLevelType w:val="hybridMultilevel"/>
    <w:tmpl w:val="9C76E09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D3DA9"/>
    <w:multiLevelType w:val="hybridMultilevel"/>
    <w:tmpl w:val="9C76E09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F7B28"/>
    <w:multiLevelType w:val="hybridMultilevel"/>
    <w:tmpl w:val="79649420"/>
    <w:lvl w:ilvl="0" w:tplc="02D4E268">
      <w:start w:val="1"/>
      <w:numFmt w:val="decimal"/>
      <w:pStyle w:val="Style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D2C1F"/>
    <w:multiLevelType w:val="multilevel"/>
    <w:tmpl w:val="B896D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404986"/>
    <w:multiLevelType w:val="multilevel"/>
    <w:tmpl w:val="840664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D427FB0"/>
    <w:multiLevelType w:val="hybridMultilevel"/>
    <w:tmpl w:val="0082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A46DB"/>
    <w:multiLevelType w:val="hybridMultilevel"/>
    <w:tmpl w:val="9C76E09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27E79"/>
    <w:multiLevelType w:val="hybridMultilevel"/>
    <w:tmpl w:val="790A0186"/>
    <w:lvl w:ilvl="0" w:tplc="25FECA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5498C"/>
    <w:multiLevelType w:val="hybridMultilevel"/>
    <w:tmpl w:val="5CB020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95BA4"/>
    <w:multiLevelType w:val="multilevel"/>
    <w:tmpl w:val="2392F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0E46E8"/>
    <w:multiLevelType w:val="hybridMultilevel"/>
    <w:tmpl w:val="D3609B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400067">
    <w:abstractNumId w:val="4"/>
  </w:num>
  <w:num w:numId="2" w16cid:durableId="983196030">
    <w:abstractNumId w:val="13"/>
  </w:num>
  <w:num w:numId="3" w16cid:durableId="2073579962">
    <w:abstractNumId w:val="2"/>
  </w:num>
  <w:num w:numId="4" w16cid:durableId="1497301364">
    <w:abstractNumId w:val="21"/>
  </w:num>
  <w:num w:numId="5" w16cid:durableId="1866404141">
    <w:abstractNumId w:val="20"/>
  </w:num>
  <w:num w:numId="6" w16cid:durableId="37902080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40968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0935874">
    <w:abstractNumId w:val="15"/>
  </w:num>
  <w:num w:numId="9" w16cid:durableId="1397774968">
    <w:abstractNumId w:val="10"/>
  </w:num>
  <w:num w:numId="10" w16cid:durableId="24716589">
    <w:abstractNumId w:val="0"/>
  </w:num>
  <w:num w:numId="11" w16cid:durableId="1963263749">
    <w:abstractNumId w:val="5"/>
  </w:num>
  <w:num w:numId="12" w16cid:durableId="1048450913">
    <w:abstractNumId w:val="18"/>
  </w:num>
  <w:num w:numId="13" w16cid:durableId="1510288995">
    <w:abstractNumId w:val="3"/>
  </w:num>
  <w:num w:numId="14" w16cid:durableId="815412351">
    <w:abstractNumId w:val="6"/>
  </w:num>
  <w:num w:numId="15" w16cid:durableId="1436243535">
    <w:abstractNumId w:val="11"/>
  </w:num>
  <w:num w:numId="16" w16cid:durableId="693576650">
    <w:abstractNumId w:val="12"/>
  </w:num>
  <w:num w:numId="17" w16cid:durableId="1472165527">
    <w:abstractNumId w:val="17"/>
  </w:num>
  <w:num w:numId="18" w16cid:durableId="362484911">
    <w:abstractNumId w:val="13"/>
  </w:num>
  <w:num w:numId="19" w16cid:durableId="602766992">
    <w:abstractNumId w:val="13"/>
  </w:num>
  <w:num w:numId="20" w16cid:durableId="1263998241">
    <w:abstractNumId w:val="7"/>
  </w:num>
  <w:num w:numId="21" w16cid:durableId="254748437">
    <w:abstractNumId w:val="13"/>
  </w:num>
  <w:num w:numId="22" w16cid:durableId="1847209222">
    <w:abstractNumId w:val="19"/>
  </w:num>
  <w:num w:numId="23" w16cid:durableId="1238976075">
    <w:abstractNumId w:val="9"/>
  </w:num>
  <w:num w:numId="24" w16cid:durableId="16201416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123559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5764888">
    <w:abstractNumId w:val="1"/>
  </w:num>
  <w:num w:numId="27" w16cid:durableId="360594380">
    <w:abstractNumId w:val="13"/>
  </w:num>
  <w:num w:numId="28" w16cid:durableId="1900051908">
    <w:abstractNumId w:val="13"/>
  </w:num>
  <w:num w:numId="29" w16cid:durableId="1000039946">
    <w:abstractNumId w:val="16"/>
  </w:num>
  <w:num w:numId="30" w16cid:durableId="943073372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C4"/>
    <w:rsid w:val="0000107C"/>
    <w:rsid w:val="000013A4"/>
    <w:rsid w:val="0001144B"/>
    <w:rsid w:val="000117F0"/>
    <w:rsid w:val="000119C3"/>
    <w:rsid w:val="0001744F"/>
    <w:rsid w:val="00026228"/>
    <w:rsid w:val="000432E0"/>
    <w:rsid w:val="0004581E"/>
    <w:rsid w:val="00047538"/>
    <w:rsid w:val="00052678"/>
    <w:rsid w:val="00067A15"/>
    <w:rsid w:val="00067AC0"/>
    <w:rsid w:val="00097586"/>
    <w:rsid w:val="000A056F"/>
    <w:rsid w:val="000A2E04"/>
    <w:rsid w:val="000C217C"/>
    <w:rsid w:val="00117523"/>
    <w:rsid w:val="00146131"/>
    <w:rsid w:val="001474B1"/>
    <w:rsid w:val="0015151B"/>
    <w:rsid w:val="00152149"/>
    <w:rsid w:val="00156953"/>
    <w:rsid w:val="0016587B"/>
    <w:rsid w:val="00166346"/>
    <w:rsid w:val="00166CDD"/>
    <w:rsid w:val="001758B7"/>
    <w:rsid w:val="00185B1B"/>
    <w:rsid w:val="001906BC"/>
    <w:rsid w:val="00194FC5"/>
    <w:rsid w:val="001A6666"/>
    <w:rsid w:val="001E3DE1"/>
    <w:rsid w:val="001E6A24"/>
    <w:rsid w:val="00204FA1"/>
    <w:rsid w:val="00206E49"/>
    <w:rsid w:val="00214592"/>
    <w:rsid w:val="00224EE7"/>
    <w:rsid w:val="00233CAA"/>
    <w:rsid w:val="00245933"/>
    <w:rsid w:val="002473EC"/>
    <w:rsid w:val="00261384"/>
    <w:rsid w:val="00261C86"/>
    <w:rsid w:val="00267A74"/>
    <w:rsid w:val="00272932"/>
    <w:rsid w:val="00280396"/>
    <w:rsid w:val="002A06D3"/>
    <w:rsid w:val="002A3D25"/>
    <w:rsid w:val="002A67E8"/>
    <w:rsid w:val="002B62EB"/>
    <w:rsid w:val="002D24FA"/>
    <w:rsid w:val="002E02EF"/>
    <w:rsid w:val="002E06DF"/>
    <w:rsid w:val="002E0E58"/>
    <w:rsid w:val="002E3ED5"/>
    <w:rsid w:val="002F0279"/>
    <w:rsid w:val="002F39AE"/>
    <w:rsid w:val="002F4C7F"/>
    <w:rsid w:val="002F6C1E"/>
    <w:rsid w:val="00307B6F"/>
    <w:rsid w:val="00311407"/>
    <w:rsid w:val="003133EE"/>
    <w:rsid w:val="00322E44"/>
    <w:rsid w:val="00323A04"/>
    <w:rsid w:val="00335521"/>
    <w:rsid w:val="00350A89"/>
    <w:rsid w:val="00386D01"/>
    <w:rsid w:val="003A3F03"/>
    <w:rsid w:val="003B2A44"/>
    <w:rsid w:val="003B3BBF"/>
    <w:rsid w:val="003D6F14"/>
    <w:rsid w:val="003E1A47"/>
    <w:rsid w:val="003F7B07"/>
    <w:rsid w:val="0042521A"/>
    <w:rsid w:val="00441C55"/>
    <w:rsid w:val="004749F3"/>
    <w:rsid w:val="00495901"/>
    <w:rsid w:val="004969A3"/>
    <w:rsid w:val="004A704F"/>
    <w:rsid w:val="004D2014"/>
    <w:rsid w:val="004E0BCB"/>
    <w:rsid w:val="004E774C"/>
    <w:rsid w:val="004F6E27"/>
    <w:rsid w:val="00503CDF"/>
    <w:rsid w:val="005164CB"/>
    <w:rsid w:val="005447C4"/>
    <w:rsid w:val="00547E84"/>
    <w:rsid w:val="0057625D"/>
    <w:rsid w:val="00593611"/>
    <w:rsid w:val="005A7077"/>
    <w:rsid w:val="005A7F1A"/>
    <w:rsid w:val="005B7E3F"/>
    <w:rsid w:val="005C3F81"/>
    <w:rsid w:val="005C4904"/>
    <w:rsid w:val="005D17DA"/>
    <w:rsid w:val="005D19D8"/>
    <w:rsid w:val="005E6145"/>
    <w:rsid w:val="0061025F"/>
    <w:rsid w:val="00612B41"/>
    <w:rsid w:val="00613195"/>
    <w:rsid w:val="006136DC"/>
    <w:rsid w:val="0062476C"/>
    <w:rsid w:val="00675787"/>
    <w:rsid w:val="00680A55"/>
    <w:rsid w:val="006A30D4"/>
    <w:rsid w:val="006A4D96"/>
    <w:rsid w:val="006A51BA"/>
    <w:rsid w:val="006C7A16"/>
    <w:rsid w:val="006D38DD"/>
    <w:rsid w:val="006F39FB"/>
    <w:rsid w:val="00704C13"/>
    <w:rsid w:val="00721DB8"/>
    <w:rsid w:val="00723422"/>
    <w:rsid w:val="00747114"/>
    <w:rsid w:val="007472BF"/>
    <w:rsid w:val="00750F67"/>
    <w:rsid w:val="0075533C"/>
    <w:rsid w:val="007673FF"/>
    <w:rsid w:val="00770935"/>
    <w:rsid w:val="007861BD"/>
    <w:rsid w:val="00797ECA"/>
    <w:rsid w:val="007A48D4"/>
    <w:rsid w:val="007E5C8E"/>
    <w:rsid w:val="0080782D"/>
    <w:rsid w:val="0082497C"/>
    <w:rsid w:val="008256FE"/>
    <w:rsid w:val="00845582"/>
    <w:rsid w:val="00864041"/>
    <w:rsid w:val="00880213"/>
    <w:rsid w:val="00882CD1"/>
    <w:rsid w:val="008933C4"/>
    <w:rsid w:val="008A4D27"/>
    <w:rsid w:val="008B7C5E"/>
    <w:rsid w:val="008C0DFA"/>
    <w:rsid w:val="008E5F89"/>
    <w:rsid w:val="008F7992"/>
    <w:rsid w:val="00916F3B"/>
    <w:rsid w:val="00924327"/>
    <w:rsid w:val="009313C1"/>
    <w:rsid w:val="0093174B"/>
    <w:rsid w:val="00935F34"/>
    <w:rsid w:val="0093756B"/>
    <w:rsid w:val="00945C5E"/>
    <w:rsid w:val="00946F2C"/>
    <w:rsid w:val="00955919"/>
    <w:rsid w:val="0096358B"/>
    <w:rsid w:val="00976FB2"/>
    <w:rsid w:val="00977D19"/>
    <w:rsid w:val="00986F9F"/>
    <w:rsid w:val="00990A71"/>
    <w:rsid w:val="009C03B7"/>
    <w:rsid w:val="009C114B"/>
    <w:rsid w:val="009C376A"/>
    <w:rsid w:val="009C52BB"/>
    <w:rsid w:val="009E16E2"/>
    <w:rsid w:val="009E635C"/>
    <w:rsid w:val="009E64AF"/>
    <w:rsid w:val="00A04470"/>
    <w:rsid w:val="00A1105B"/>
    <w:rsid w:val="00A31EAB"/>
    <w:rsid w:val="00A36F24"/>
    <w:rsid w:val="00A45432"/>
    <w:rsid w:val="00A75539"/>
    <w:rsid w:val="00A81C02"/>
    <w:rsid w:val="00A8393D"/>
    <w:rsid w:val="00A92D7E"/>
    <w:rsid w:val="00AA62EF"/>
    <w:rsid w:val="00AB4390"/>
    <w:rsid w:val="00AC148A"/>
    <w:rsid w:val="00AC1880"/>
    <w:rsid w:val="00AC6F2A"/>
    <w:rsid w:val="00AE12B7"/>
    <w:rsid w:val="00AE2BB0"/>
    <w:rsid w:val="00AE7DF5"/>
    <w:rsid w:val="00AF0004"/>
    <w:rsid w:val="00B01E9F"/>
    <w:rsid w:val="00B06701"/>
    <w:rsid w:val="00B10E32"/>
    <w:rsid w:val="00B11703"/>
    <w:rsid w:val="00B5010B"/>
    <w:rsid w:val="00B52967"/>
    <w:rsid w:val="00B63A16"/>
    <w:rsid w:val="00B73A6B"/>
    <w:rsid w:val="00B8513B"/>
    <w:rsid w:val="00B865E3"/>
    <w:rsid w:val="00B875AE"/>
    <w:rsid w:val="00B90631"/>
    <w:rsid w:val="00B92741"/>
    <w:rsid w:val="00B96CEE"/>
    <w:rsid w:val="00BB2EAF"/>
    <w:rsid w:val="00BB5525"/>
    <w:rsid w:val="00BD2E52"/>
    <w:rsid w:val="00BE15B2"/>
    <w:rsid w:val="00C26157"/>
    <w:rsid w:val="00C4016D"/>
    <w:rsid w:val="00C40BA3"/>
    <w:rsid w:val="00C562FB"/>
    <w:rsid w:val="00C86880"/>
    <w:rsid w:val="00CA29BE"/>
    <w:rsid w:val="00CA5F62"/>
    <w:rsid w:val="00CB0CF3"/>
    <w:rsid w:val="00CB6458"/>
    <w:rsid w:val="00CC3D79"/>
    <w:rsid w:val="00D07400"/>
    <w:rsid w:val="00D23202"/>
    <w:rsid w:val="00DB0C44"/>
    <w:rsid w:val="00DB6311"/>
    <w:rsid w:val="00DC6008"/>
    <w:rsid w:val="00DC71A4"/>
    <w:rsid w:val="00DC7796"/>
    <w:rsid w:val="00DD69C9"/>
    <w:rsid w:val="00DE260F"/>
    <w:rsid w:val="00E01015"/>
    <w:rsid w:val="00E12036"/>
    <w:rsid w:val="00E1511E"/>
    <w:rsid w:val="00E44538"/>
    <w:rsid w:val="00E6685A"/>
    <w:rsid w:val="00E838DB"/>
    <w:rsid w:val="00E939B5"/>
    <w:rsid w:val="00E93AA6"/>
    <w:rsid w:val="00EC1E39"/>
    <w:rsid w:val="00EE58D5"/>
    <w:rsid w:val="00EE79E0"/>
    <w:rsid w:val="00EF0D29"/>
    <w:rsid w:val="00F13743"/>
    <w:rsid w:val="00F13DB4"/>
    <w:rsid w:val="00F3205C"/>
    <w:rsid w:val="00F4768C"/>
    <w:rsid w:val="00F551B0"/>
    <w:rsid w:val="00F60F80"/>
    <w:rsid w:val="00F73E70"/>
    <w:rsid w:val="00F76BC1"/>
    <w:rsid w:val="00F77DCA"/>
    <w:rsid w:val="00F85A19"/>
    <w:rsid w:val="00FA71AF"/>
    <w:rsid w:val="00FB1610"/>
    <w:rsid w:val="00FB3F13"/>
    <w:rsid w:val="00FB40B3"/>
    <w:rsid w:val="00FC51AD"/>
    <w:rsid w:val="00FD1479"/>
    <w:rsid w:val="00FE12DD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E9CD7"/>
  <w15:chartTrackingRefBased/>
  <w15:docId w15:val="{CFC93E6A-72FE-41A3-AF66-0242BFEB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14B"/>
  </w:style>
  <w:style w:type="paragraph" w:styleId="Heading1">
    <w:name w:val="heading 1"/>
    <w:basedOn w:val="Normal"/>
    <w:next w:val="Normal"/>
    <w:link w:val="Heading1Char"/>
    <w:uiPriority w:val="9"/>
    <w:qFormat/>
    <w:rsid w:val="00261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30D4"/>
    <w:pPr>
      <w:keepNext/>
      <w:spacing w:before="240" w:after="120" w:line="276" w:lineRule="auto"/>
      <w:jc w:val="both"/>
      <w:outlineLvl w:val="1"/>
    </w:pPr>
    <w:rPr>
      <w:rFonts w:ascii="Calibri" w:eastAsia="Times New Roman" w:hAnsi="Calibri" w:cs="Times New Roman"/>
      <w:sz w:val="28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_Bullet,Heading 2_sj,List Paragraph1,Listenabsatz1,Parágrafo da Lista"/>
    <w:basedOn w:val="Normal"/>
    <w:link w:val="ListParagraphChar"/>
    <w:uiPriority w:val="34"/>
    <w:qFormat/>
    <w:rsid w:val="002F4C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1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EA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2613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613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613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A30D4"/>
    <w:rPr>
      <w:rFonts w:ascii="Calibri" w:eastAsia="Times New Roman" w:hAnsi="Calibri" w:cs="Times New Roman"/>
      <w:sz w:val="28"/>
      <w:szCs w:val="20"/>
      <w:lang w:val="en-GB" w:eastAsia="en-GB"/>
    </w:rPr>
  </w:style>
  <w:style w:type="character" w:styleId="Hyperlink">
    <w:name w:val="Hyperlink"/>
    <w:rsid w:val="006A30D4"/>
    <w:rPr>
      <w:color w:val="0000FF"/>
      <w:u w:val="single"/>
    </w:rPr>
  </w:style>
  <w:style w:type="character" w:customStyle="1" w:styleId="ListParagraphChar">
    <w:name w:val="List Paragraph Char"/>
    <w:aliases w:val="_Bullet Char,Heading 2_sj Char,List Paragraph1 Char,Listenabsatz1 Char,Parágrafo da Lista Char"/>
    <w:basedOn w:val="DefaultParagraphFont"/>
    <w:link w:val="ListParagraph"/>
    <w:uiPriority w:val="34"/>
    <w:qFormat/>
    <w:locked/>
    <w:rsid w:val="006A30D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7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79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6B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E02EF"/>
    <w:pPr>
      <w:spacing w:after="0" w:line="240" w:lineRule="auto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E02EF"/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Revision">
    <w:name w:val="Revision"/>
    <w:hidden/>
    <w:uiPriority w:val="99"/>
    <w:semiHidden/>
    <w:rsid w:val="002A3D25"/>
    <w:pPr>
      <w:spacing w:after="0" w:line="240" w:lineRule="auto"/>
    </w:pPr>
  </w:style>
  <w:style w:type="paragraph" w:customStyle="1" w:styleId="Paragraph">
    <w:name w:val="Paragraph"/>
    <w:basedOn w:val="Normal"/>
    <w:qFormat/>
    <w:rsid w:val="002F6C1E"/>
    <w:pPr>
      <w:tabs>
        <w:tab w:val="left" w:pos="567"/>
        <w:tab w:val="left" w:pos="1134"/>
        <w:tab w:val="left" w:pos="1701"/>
        <w:tab w:val="left" w:pos="2268"/>
      </w:tabs>
      <w:spacing w:before="120" w:after="0" w:line="280" w:lineRule="atLeast"/>
      <w:ind w:left="720" w:hanging="360"/>
      <w:jc w:val="both"/>
    </w:pPr>
    <w:rPr>
      <w:rFonts w:ascii="Calibri" w:eastAsia="Times New Roman" w:hAnsi="Calibri" w:cs="Times New Roman"/>
      <w:sz w:val="22"/>
      <w:szCs w:val="20"/>
      <w:lang w:val="en-GB"/>
    </w:rPr>
  </w:style>
  <w:style w:type="paragraph" w:customStyle="1" w:styleId="Style1">
    <w:name w:val="Style1"/>
    <w:basedOn w:val="Normal"/>
    <w:qFormat/>
    <w:rsid w:val="00B11703"/>
    <w:pPr>
      <w:numPr>
        <w:numId w:val="2"/>
      </w:numPr>
      <w:tabs>
        <w:tab w:val="left" w:pos="567"/>
      </w:tabs>
      <w:spacing w:before="120" w:after="0" w:line="280" w:lineRule="atLeast"/>
      <w:jc w:val="both"/>
    </w:pPr>
    <w:rPr>
      <w:rFonts w:ascii="Calibri" w:eastAsia="Times New Roman" w:hAnsi="Calibri" w:cs="Times New Roman"/>
      <w:sz w:val="22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BB2EAF"/>
    <w:pPr>
      <w:tabs>
        <w:tab w:val="left" w:pos="567"/>
        <w:tab w:val="left" w:pos="1134"/>
        <w:tab w:val="left" w:pos="1701"/>
        <w:tab w:val="left" w:pos="2268"/>
      </w:tabs>
      <w:spacing w:after="120" w:line="240" w:lineRule="auto"/>
      <w:ind w:left="567" w:hanging="567"/>
      <w:jc w:val="both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EAF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FootnoteReference">
    <w:name w:val="footnote reference"/>
    <w:aliases w:val="stylish"/>
    <w:uiPriority w:val="99"/>
    <w:rsid w:val="00BB2E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7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4B1"/>
  </w:style>
  <w:style w:type="paragraph" w:styleId="Footer">
    <w:name w:val="footer"/>
    <w:basedOn w:val="Normal"/>
    <w:link w:val="FooterChar"/>
    <w:unhideWhenUsed/>
    <w:rsid w:val="00147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74B1"/>
  </w:style>
  <w:style w:type="paragraph" w:styleId="BalloonText">
    <w:name w:val="Balloon Text"/>
    <w:basedOn w:val="Normal"/>
    <w:link w:val="BalloonTextChar"/>
    <w:uiPriority w:val="99"/>
    <w:semiHidden/>
    <w:unhideWhenUsed/>
    <w:rsid w:val="00E6685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5A"/>
    <w:rPr>
      <w:rFonts w:ascii="Segoe UI" w:hAnsi="Segoe UI" w:cs="Segoe UI"/>
      <w:szCs w:val="18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5A7077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185B1B"/>
  </w:style>
  <w:style w:type="character" w:styleId="PageNumber">
    <w:name w:val="page number"/>
    <w:rsid w:val="00FE4D5E"/>
    <w:rPr>
      <w:rFonts w:ascii="Arial" w:hAnsi="Arial"/>
      <w:sz w:val="18"/>
    </w:rPr>
  </w:style>
  <w:style w:type="character" w:customStyle="1" w:styleId="Onopgelostemelding2">
    <w:name w:val="Onopgeloste melding2"/>
    <w:basedOn w:val="DefaultParagraphFont"/>
    <w:uiPriority w:val="99"/>
    <w:semiHidden/>
    <w:unhideWhenUsed/>
    <w:rsid w:val="009E635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C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E5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header">
    <w:name w:val="Doc header"/>
    <w:basedOn w:val="Normal"/>
    <w:rsid w:val="00152149"/>
    <w:pPr>
      <w:tabs>
        <w:tab w:val="left" w:pos="567"/>
      </w:tabs>
      <w:spacing w:after="0" w:line="280" w:lineRule="exact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D1FC-A8E6-4A66-97D6-4B9DC11B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Rijksoverheid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Driesprong, A. (Astrid) - ILT</dc:creator>
  <cp:keywords/>
  <dc:description/>
  <cp:lastModifiedBy>Olle Akesson</cp:lastModifiedBy>
  <cp:revision>8</cp:revision>
  <dcterms:created xsi:type="dcterms:W3CDTF">2023-09-21T07:59:00Z</dcterms:created>
  <dcterms:modified xsi:type="dcterms:W3CDTF">2023-11-02T12:15:00Z</dcterms:modified>
</cp:coreProperties>
</file>